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Úplné znění zřizovací listiny Olomouckého kraje, č.j.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…………….</w:t>
      </w:r>
      <w:r w:rsidR="00CE335F">
        <w:rPr>
          <w:rFonts w:ascii="Times New Roman" w:hAnsi="Times New Roman" w:cs="Times New Roman"/>
          <w:b/>
          <w:bCs/>
        </w:rPr>
        <w:t>.</w:t>
      </w:r>
    </w:p>
    <w:p w14:paraId="0366AF06" w14:textId="2E42710E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832F0C">
        <w:rPr>
          <w:rFonts w:ascii="Times New Roman" w:hAnsi="Times New Roman" w:cs="Times New Roman"/>
          <w:b/>
          <w:bCs/>
        </w:rPr>
        <w:t xml:space="preserve"> podnikání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oddech </w:t>
      </w:r>
      <w:r w:rsidR="0099593B" w:rsidRPr="00FB1C2D">
        <w:rPr>
          <w:rFonts w:ascii="Times New Roman" w:hAnsi="Times New Roman" w:cs="Times New Roman"/>
        </w:rPr>
        <w:t xml:space="preserve"> se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0C99A7C0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administrativa a digitální agenda - pomoc s vedením evidence v elektronické podobě, tvorba a úprava obchodní korespondence, práce s kancelářskými a cloudovými systémy (např. Google Workspace, MS Office 365), digitalizace dokumentů, správa firemních databází, třídění a archivace dokumentace</w:t>
      </w:r>
    </w:p>
    <w:p w14:paraId="7DC518C2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účetnictví – seznámení se s organizací a činností účtárny, se  způsobem vedení účetnictví v moderních účetních systémech; fakturace, práce s účetními doklady, kontrola plateb, tvorba jednoduchých přehledů a tabulek</w:t>
      </w:r>
    </w:p>
    <w:p w14:paraId="0D53CA88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zásobování, obchod a marketing – seznámení se se základní činností útvaru nákupu a prodeje, pomoc při zajištění jeho činností (objednávky, komunikace s dodavateli, sledování zásob), spolupráce na propagaci produktů či služeb, příprava marketingových materiálů, správa obsahu na sociálních sítích, aktualizace webu či e-shopu</w:t>
      </w:r>
    </w:p>
    <w:p w14:paraId="628D8737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ekonomika – poznání problematiky financování a řízení činností společnosti, plánování a vyhodnocování hospodářských výsledků, práce s daty a jejich analýza, příprava podkladů pro vedení firmy, podpora při komunikaci se zákazníky a obchodními partnery, prezentace firmy na veřejnosti a zapojení do týmových či projektových aktivit rozvíjejících podnikavost, spolupráci a samostatné rozhodování, seznámení se se základními právními aspekty podnikání (uzavíráním obchodních smluv, ochranou spotřebitele, pracovněprávní problematikou či dodržováním legislativních povinností firmy)</w:t>
      </w:r>
    </w:p>
    <w:p w14:paraId="4C712873" w14:textId="3B135703" w:rsidR="00B12459" w:rsidRDefault="00B12459" w:rsidP="00B124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</w:t>
      </w:r>
      <w:r w:rsidR="005A5262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s daným oborem</w:t>
      </w:r>
    </w:p>
    <w:p w14:paraId="1F1A2C24" w14:textId="2C299EBE" w:rsidR="00222575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3BBA621" w14:textId="77777777" w:rsidR="00B12459" w:rsidRPr="00FB1C2D" w:rsidRDefault="00B12459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E19806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3CC06B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56FE42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4AEAE05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Zajistí </w:t>
      </w:r>
      <w:r w:rsidR="00860FA8" w:rsidRPr="00860FA8">
        <w:rPr>
          <w:rFonts w:ascii="Times New Roman" w:hAnsi="Times New Roman" w:cs="Times New Roman"/>
          <w:iCs/>
        </w:rPr>
        <w:t xml:space="preserve"> součinnost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vyhl.č.79/2013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22BCC7B8" w14:textId="77777777" w:rsidR="00672BB2" w:rsidRDefault="00672BB2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B911E9" w14:textId="60652156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10D7D13C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832F0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 xml:space="preserve">do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505D" w14:textId="77777777" w:rsidR="00C02C97" w:rsidRDefault="00C02C97" w:rsidP="00FB1C2D">
      <w:pPr>
        <w:spacing w:after="0" w:line="240" w:lineRule="auto"/>
      </w:pPr>
      <w:r>
        <w:separator/>
      </w:r>
    </w:p>
  </w:endnote>
  <w:endnote w:type="continuationSeparator" w:id="0">
    <w:p w14:paraId="6C640A8D" w14:textId="77777777" w:rsidR="00C02C97" w:rsidRDefault="00C02C97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EBA6" w14:textId="77777777" w:rsidR="00C02C97" w:rsidRDefault="00C02C97" w:rsidP="00FB1C2D">
      <w:pPr>
        <w:spacing w:after="0" w:line="240" w:lineRule="auto"/>
      </w:pPr>
      <w:r>
        <w:separator/>
      </w:r>
    </w:p>
  </w:footnote>
  <w:footnote w:type="continuationSeparator" w:id="0">
    <w:p w14:paraId="0B63541D" w14:textId="77777777" w:rsidR="00C02C97" w:rsidRDefault="00C02C97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1301">
    <w:abstractNumId w:val="6"/>
  </w:num>
  <w:num w:numId="2" w16cid:durableId="785080190">
    <w:abstractNumId w:val="1"/>
  </w:num>
  <w:num w:numId="3" w16cid:durableId="697505629">
    <w:abstractNumId w:val="12"/>
  </w:num>
  <w:num w:numId="4" w16cid:durableId="1695308677">
    <w:abstractNumId w:val="0"/>
  </w:num>
  <w:num w:numId="5" w16cid:durableId="1376152252">
    <w:abstractNumId w:val="4"/>
  </w:num>
  <w:num w:numId="6" w16cid:durableId="100419273">
    <w:abstractNumId w:val="9"/>
  </w:num>
  <w:num w:numId="7" w16cid:durableId="1512142734">
    <w:abstractNumId w:val="5"/>
  </w:num>
  <w:num w:numId="8" w16cid:durableId="1356226316">
    <w:abstractNumId w:val="3"/>
  </w:num>
  <w:num w:numId="9" w16cid:durableId="1118991600">
    <w:abstractNumId w:val="11"/>
  </w:num>
  <w:num w:numId="10" w16cid:durableId="1759061991">
    <w:abstractNumId w:val="2"/>
  </w:num>
  <w:num w:numId="11" w16cid:durableId="283195703">
    <w:abstractNumId w:val="8"/>
  </w:num>
  <w:num w:numId="12" w16cid:durableId="1985038795">
    <w:abstractNumId w:val="7"/>
  </w:num>
  <w:num w:numId="13" w16cid:durableId="1303850238">
    <w:abstractNumId w:val="10"/>
  </w:num>
  <w:num w:numId="14" w16cid:durableId="161823668">
    <w:abstractNumId w:val="0"/>
  </w:num>
  <w:num w:numId="15" w16cid:durableId="1037391075">
    <w:abstractNumId w:val="10"/>
  </w:num>
  <w:num w:numId="16" w16cid:durableId="540552521">
    <w:abstractNumId w:val="10"/>
  </w:num>
  <w:num w:numId="17" w16cid:durableId="1285961481">
    <w:abstractNumId w:val="10"/>
  </w:num>
  <w:num w:numId="18" w16cid:durableId="1841312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13B8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053E8"/>
    <w:rsid w:val="00445482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5262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72BB2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2F0C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12459"/>
    <w:rsid w:val="00B30A0C"/>
    <w:rsid w:val="00B4511B"/>
    <w:rsid w:val="00B54A5A"/>
    <w:rsid w:val="00B676EE"/>
    <w:rsid w:val="00B745A8"/>
    <w:rsid w:val="00B81A0C"/>
    <w:rsid w:val="00B90152"/>
    <w:rsid w:val="00BE5349"/>
    <w:rsid w:val="00BF7423"/>
    <w:rsid w:val="00BF7A55"/>
    <w:rsid w:val="00C02C97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Jana Kolářová</cp:lastModifiedBy>
  <cp:revision>2</cp:revision>
  <cp:lastPrinted>2026-01-14T13:33:00Z</cp:lastPrinted>
  <dcterms:created xsi:type="dcterms:W3CDTF">2026-03-31T14:59:00Z</dcterms:created>
  <dcterms:modified xsi:type="dcterms:W3CDTF">2026-03-31T14:59:00Z</dcterms:modified>
</cp:coreProperties>
</file>