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206842F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2962A6">
        <w:rPr>
          <w:rFonts w:ascii="Times New Roman" w:eastAsia="Times New Roman" w:hAnsi="Times New Roman" w:cs="Times New Roman"/>
          <w:lang w:eastAsia="cs-CZ"/>
        </w:rPr>
        <w:t xml:space="preserve"> Nedělníková</w:t>
      </w:r>
    </w:p>
    <w:p w14:paraId="6779A1EF" w14:textId="7686ABFE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hyperlink r:id="rId7" w:history="1">
        <w:r w:rsidR="002962A6" w:rsidRPr="00B07ED1">
          <w:rPr>
            <w:rStyle w:val="Hypertextovodkaz"/>
            <w:rFonts w:ascii="Times New Roman" w:eastAsia="Times New Roman" w:hAnsi="Times New Roman" w:cs="Times New Roman"/>
            <w:lang w:eastAsia="cs-CZ"/>
          </w:rPr>
          <w:t>nedelnikova@skolasumperk.cz</w:t>
        </w:r>
      </w:hyperlink>
      <w:r w:rsidR="002962A6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1CDE4640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2962A6">
        <w:rPr>
          <w:rFonts w:ascii="Times New Roman" w:hAnsi="Times New Roman" w:cs="Times New Roman"/>
          <w:b/>
          <w:bCs/>
        </w:rPr>
        <w:t>nábytkářská a dřevařská výroba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737C7692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administrativa a obchodně-technická činnost – seznámení se s procesem přijímání zakázek, technické zpracování zakázek (specifikace, požadavky zákazníka), kalkulace nákladů, výpočty cen, práce s cenovými nabídkami, komunikace se zákazníky a dodavateli</w:t>
      </w:r>
    </w:p>
    <w:p w14:paraId="08DDAADD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 xml:space="preserve">konstrukční příprava výroby – tvorba návrhů a technických výkresů, sestavování kusovníků (seznamů dílů), práce s CAD softwarem (dle možností společnosti), seznámení </w:t>
      </w:r>
      <w:proofErr w:type="gramStart"/>
      <w:r w:rsidRPr="002962A6">
        <w:rPr>
          <w:rFonts w:ascii="Times New Roman" w:hAnsi="Times New Roman" w:cs="Times New Roman"/>
        </w:rPr>
        <w:t>se  s výrobními</w:t>
      </w:r>
      <w:proofErr w:type="gramEnd"/>
      <w:r w:rsidRPr="002962A6">
        <w:rPr>
          <w:rFonts w:ascii="Times New Roman" w:hAnsi="Times New Roman" w:cs="Times New Roman"/>
        </w:rPr>
        <w:t xml:space="preserve"> procesy z hlediska efektivity a kvality, dodržování technologických postupů</w:t>
      </w:r>
    </w:p>
    <w:p w14:paraId="3AF0A273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zásobování a prodej (marketing) – seznámení se s činností útvaru zásobování a prodeje, pomoc  při zajištění materiálových toků, základy marketingu v oblasti nábytkářské produkce, práce s objednávkami, dodacími listy, fakturace</w:t>
      </w:r>
    </w:p>
    <w:p w14:paraId="3C94D82A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výroba nábytku a polotovarů – pomoc při výrobě a montáži nábytku, práce s různými druhy dřeva a materiálů, používání ručních a elektrických nástrojů</w:t>
      </w:r>
    </w:p>
    <w:p w14:paraId="35359A8D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návrh a design – asistence při tvorbě návrhů a designů nábytku, práce s grafickými programy pro návrh nábytku, konzultace s klienty ohledně jejich požadavků a přání,</w:t>
      </w:r>
    </w:p>
    <w:p w14:paraId="6476DE26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 xml:space="preserve">povrchová úprava – pomoc při lakování, moření a jiných povrchových úpravách nábytku, používání </w:t>
      </w:r>
      <w:proofErr w:type="gramStart"/>
      <w:r w:rsidRPr="002962A6">
        <w:rPr>
          <w:rFonts w:ascii="Times New Roman" w:hAnsi="Times New Roman" w:cs="Times New Roman"/>
        </w:rPr>
        <w:t>různých  technik</w:t>
      </w:r>
      <w:proofErr w:type="gramEnd"/>
      <w:r w:rsidRPr="002962A6">
        <w:rPr>
          <w:rFonts w:ascii="Times New Roman" w:hAnsi="Times New Roman" w:cs="Times New Roman"/>
        </w:rPr>
        <w:t xml:space="preserve">  a materiálů pro povrchovou úpravu</w:t>
      </w:r>
    </w:p>
    <w:p w14:paraId="3F354A38" w14:textId="77777777" w:rsidR="002962A6" w:rsidRPr="002962A6" w:rsidRDefault="002962A6" w:rsidP="002962A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62A6">
        <w:rPr>
          <w:rFonts w:ascii="Times New Roman" w:hAnsi="Times New Roman" w:cs="Times New Roman"/>
        </w:rPr>
        <w:t>údržba a opravy – asistence při opravách a renovacích starého nábytku, údržba nástrojů  a zařízení používaných při výrobě nábytku</w:t>
      </w:r>
    </w:p>
    <w:p w14:paraId="44991952" w14:textId="14BEFB8C" w:rsidR="00EC2DAD" w:rsidRDefault="00EC2DAD" w:rsidP="00EC2DA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</w:t>
      </w:r>
      <w:r w:rsidR="00BD5B83">
        <w:rPr>
          <w:rFonts w:ascii="Times New Roman" w:hAnsi="Times New Roman" w:cs="Times New Roman"/>
        </w:rPr>
        <w:t>ch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 daným oborem</w:t>
      </w:r>
    </w:p>
    <w:p w14:paraId="1F1A2C24" w14:textId="406D30C3" w:rsidR="00222575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6C261C70" w:rsidR="00712935" w:rsidRPr="00FB1C2D" w:rsidRDefault="00440B92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="008F5BCF"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0B9CE23A" w:rsidR="00712935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lastRenderedPageBreak/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5972B96A" w14:textId="77777777" w:rsidR="002962A6" w:rsidRDefault="002962A6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B911E9" w14:textId="6FFD09ED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16B15546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proofErr w:type="gramStart"/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proofErr w:type="gramEnd"/>
      <w:r w:rsidRPr="00F91EAA">
        <w:rPr>
          <w:rFonts w:ascii="Times New Roman" w:hAnsi="Times New Roman" w:cs="Times New Roman"/>
        </w:rPr>
        <w:t xml:space="preserve"> třídy</w:t>
      </w:r>
      <w:r w:rsidR="002962A6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lastRenderedPageBreak/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9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ECB26" w14:textId="77777777" w:rsidR="009F5800" w:rsidRDefault="009F5800" w:rsidP="00FB1C2D">
      <w:pPr>
        <w:spacing w:after="0" w:line="240" w:lineRule="auto"/>
      </w:pPr>
      <w:r>
        <w:separator/>
      </w:r>
    </w:p>
  </w:endnote>
  <w:endnote w:type="continuationSeparator" w:id="0">
    <w:p w14:paraId="35CF0908" w14:textId="77777777" w:rsidR="009F5800" w:rsidRDefault="009F5800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0692" w14:textId="77777777" w:rsidR="009F5800" w:rsidRDefault="009F5800" w:rsidP="00FB1C2D">
      <w:pPr>
        <w:spacing w:after="0" w:line="240" w:lineRule="auto"/>
      </w:pPr>
      <w:r>
        <w:separator/>
      </w:r>
    </w:p>
  </w:footnote>
  <w:footnote w:type="continuationSeparator" w:id="0">
    <w:p w14:paraId="10ADEA4D" w14:textId="77777777" w:rsidR="009F5800" w:rsidRDefault="009F5800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2A6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3F2294"/>
    <w:rsid w:val="00440B92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0960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9F5800"/>
    <w:rsid w:val="00A37514"/>
    <w:rsid w:val="00A70BE2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D5B83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2DAD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podatel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delnikova@skolasumper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kolasumperk.cz/gdpr-a-cook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1334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40</cp:revision>
  <cp:lastPrinted>2026-01-14T13:33:00Z</cp:lastPrinted>
  <dcterms:created xsi:type="dcterms:W3CDTF">2024-02-21T07:46:00Z</dcterms:created>
  <dcterms:modified xsi:type="dcterms:W3CDTF">2026-03-31T05:51:00Z</dcterms:modified>
</cp:coreProperties>
</file>